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767B1E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15pt;height:42.6pt" fillcolor="window">
            <v:imagedata r:id="rId6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84172B">
        <w:rPr>
          <w:sz w:val="22"/>
          <w:szCs w:val="22"/>
        </w:rPr>
        <w:t xml:space="preserve">April </w:t>
      </w:r>
      <w:r w:rsidR="009A1E09">
        <w:rPr>
          <w:sz w:val="22"/>
          <w:szCs w:val="22"/>
        </w:rPr>
        <w:t>26</w:t>
      </w:r>
      <w:r w:rsidR="0084172B">
        <w:rPr>
          <w:sz w:val="22"/>
          <w:szCs w:val="22"/>
        </w:rPr>
        <w:t>, 2012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 xml:space="preserve">Revision of Section </w:t>
      </w:r>
      <w:r w:rsidR="0084172B">
        <w:rPr>
          <w:sz w:val="22"/>
          <w:szCs w:val="22"/>
        </w:rPr>
        <w:t>206, Structure Backfill (Flow-Fill)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bookmarkStart w:id="1" w:name="_GoBack"/>
      <w:bookmarkEnd w:id="1"/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 xml:space="preserve">a </w:t>
      </w:r>
      <w:r w:rsidR="0084172B">
        <w:rPr>
          <w:sz w:val="22"/>
          <w:szCs w:val="22"/>
        </w:rPr>
        <w:t>new</w:t>
      </w:r>
      <w:r>
        <w:rPr>
          <w:sz w:val="22"/>
          <w:szCs w:val="22"/>
        </w:rPr>
        <w:t xml:space="preserve"> standard special provision, Revision of Section </w:t>
      </w:r>
      <w:r w:rsidR="0084172B">
        <w:rPr>
          <w:sz w:val="22"/>
          <w:szCs w:val="22"/>
        </w:rPr>
        <w:t>206</w:t>
      </w:r>
      <w:r>
        <w:rPr>
          <w:sz w:val="22"/>
          <w:szCs w:val="22"/>
        </w:rPr>
        <w:t xml:space="preserve">, </w:t>
      </w:r>
      <w:r w:rsidR="0084172B">
        <w:rPr>
          <w:sz w:val="22"/>
          <w:szCs w:val="22"/>
        </w:rPr>
        <w:t>Structure Backfill (Flow-Fill)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>
        <w:rPr>
          <w:sz w:val="22"/>
          <w:szCs w:val="22"/>
        </w:rPr>
        <w:t>This revised standard special is 2 pages</w:t>
      </w:r>
      <w:r w:rsidR="00B66DE6">
        <w:rPr>
          <w:sz w:val="22"/>
          <w:szCs w:val="22"/>
        </w:rPr>
        <w:t xml:space="preserve"> long</w:t>
      </w:r>
      <w:r>
        <w:rPr>
          <w:sz w:val="22"/>
          <w:szCs w:val="22"/>
        </w:rPr>
        <w:t xml:space="preserve">.  </w:t>
      </w:r>
      <w:r w:rsidR="00B66DE6">
        <w:rPr>
          <w:sz w:val="22"/>
          <w:szCs w:val="22"/>
        </w:rPr>
        <w:t xml:space="preserve">It should be used </w:t>
      </w:r>
      <w:r>
        <w:rPr>
          <w:sz w:val="22"/>
          <w:szCs w:val="22"/>
        </w:rPr>
        <w:t xml:space="preserve">in </w:t>
      </w:r>
      <w:r w:rsidR="0084172B">
        <w:rPr>
          <w:sz w:val="22"/>
          <w:szCs w:val="22"/>
        </w:rPr>
        <w:t xml:space="preserve">projects having Structure </w:t>
      </w:r>
      <w:r w:rsidR="00767B1E">
        <w:rPr>
          <w:sz w:val="22"/>
          <w:szCs w:val="22"/>
        </w:rPr>
        <w:t>Backfill,</w:t>
      </w:r>
      <w:r w:rsidR="008417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beginning with projects </w:t>
      </w:r>
      <w:r w:rsidR="0084172B">
        <w:rPr>
          <w:sz w:val="22"/>
          <w:szCs w:val="22"/>
        </w:rPr>
        <w:t xml:space="preserve">advertised </w:t>
      </w:r>
      <w:r>
        <w:rPr>
          <w:sz w:val="22"/>
          <w:szCs w:val="22"/>
        </w:rPr>
        <w:t xml:space="preserve">on or after </w:t>
      </w:r>
      <w:r w:rsidR="0084172B">
        <w:rPr>
          <w:sz w:val="22"/>
          <w:szCs w:val="22"/>
        </w:rPr>
        <w:t xml:space="preserve">May </w:t>
      </w:r>
      <w:r w:rsidR="009A1E09">
        <w:rPr>
          <w:sz w:val="22"/>
          <w:szCs w:val="22"/>
        </w:rPr>
        <w:t>24</w:t>
      </w:r>
      <w:r w:rsidR="0084172B">
        <w:rPr>
          <w:sz w:val="22"/>
          <w:szCs w:val="22"/>
        </w:rPr>
        <w:t>, 2012</w:t>
      </w:r>
      <w:r>
        <w:rPr>
          <w:sz w:val="22"/>
          <w:szCs w:val="22"/>
        </w:rPr>
        <w:t xml:space="preserve">.  Please feel free, however, to include it 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9A1E09" w:rsidRDefault="009A627F" w:rsidP="003E29AE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This new standard special provision</w:t>
      </w:r>
      <w:r w:rsidR="003E29AE">
        <w:rPr>
          <w:sz w:val="22"/>
          <w:szCs w:val="22"/>
        </w:rPr>
        <w:t xml:space="preserve"> define</w:t>
      </w:r>
      <w:r>
        <w:rPr>
          <w:sz w:val="22"/>
          <w:szCs w:val="22"/>
        </w:rPr>
        <w:t>s</w:t>
      </w:r>
      <w:r w:rsidR="003E29AE">
        <w:rPr>
          <w:sz w:val="22"/>
          <w:szCs w:val="22"/>
        </w:rPr>
        <w:t xml:space="preserve"> performance criteria for Flow-Fill</w:t>
      </w:r>
      <w:r>
        <w:rPr>
          <w:sz w:val="22"/>
          <w:szCs w:val="22"/>
        </w:rPr>
        <w:t xml:space="preserve"> instead of using </w:t>
      </w:r>
      <w:r w:rsidR="00767B1E">
        <w:rPr>
          <w:sz w:val="22"/>
          <w:szCs w:val="22"/>
        </w:rPr>
        <w:t>a</w:t>
      </w:r>
      <w:r>
        <w:rPr>
          <w:sz w:val="22"/>
          <w:szCs w:val="22"/>
        </w:rPr>
        <w:t xml:space="preserve"> CDOT recipe</w:t>
      </w:r>
      <w:r w:rsidR="003E29AE">
        <w:rPr>
          <w:sz w:val="22"/>
          <w:szCs w:val="22"/>
        </w:rPr>
        <w:t xml:space="preserve">.  </w:t>
      </w:r>
      <w:r w:rsidR="00767B1E">
        <w:rPr>
          <w:sz w:val="22"/>
          <w:szCs w:val="22"/>
        </w:rPr>
        <w:t xml:space="preserve">It also defines </w:t>
      </w:r>
      <w:r>
        <w:rPr>
          <w:sz w:val="22"/>
          <w:szCs w:val="22"/>
        </w:rPr>
        <w:t>the removability modulus</w:t>
      </w:r>
      <w:r w:rsidR="00767B1E">
        <w:rPr>
          <w:sz w:val="22"/>
          <w:szCs w:val="22"/>
        </w:rPr>
        <w:t>.</w:t>
      </w:r>
    </w:p>
    <w:p w:rsidR="00A6316A" w:rsidRPr="009A1E09" w:rsidRDefault="009A1E09" w:rsidP="003E29AE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 w:rsidRPr="00767B1E">
        <w:rPr>
          <w:sz w:val="22"/>
          <w:szCs w:val="22"/>
        </w:rPr>
        <w:t>The Designer shall determine the locations of Structure Backfill (Flow-Fill) which will require future excavation for utility work or other related work.  These locations shall be shown on the plans.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3E29AE">
        <w:rPr>
          <w:sz w:val="22"/>
          <w:szCs w:val="22"/>
        </w:rPr>
        <w:t>add this to your file</w:t>
      </w:r>
      <w:r>
        <w:rPr>
          <w:sz w:val="22"/>
          <w:szCs w:val="22"/>
        </w:rPr>
        <w:t xml:space="preserve">. </w:t>
      </w:r>
      <w:r w:rsidRPr="00CA0DC6">
        <w:rPr>
          <w:sz w:val="22"/>
          <w:szCs w:val="22"/>
        </w:rPr>
        <w:t xml:space="preserve">For your convenience, we are attaching a new Index of Standard Special Provisions, </w:t>
      </w:r>
      <w:r w:rsidR="003E29AE">
        <w:rPr>
          <w:sz w:val="22"/>
          <w:szCs w:val="22"/>
        </w:rPr>
        <w:t>effective this same date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3E29AE" w:rsidRPr="003E29AE" w:rsidRDefault="00767B1E" w:rsidP="003E29AE">
      <w:pPr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hyperlink r:id="rId7" w:history="1">
        <w:r w:rsidR="003E29AE" w:rsidRPr="003E29AE">
          <w:rPr>
            <w:color w:val="0000FF"/>
            <w:sz w:val="22"/>
            <w:szCs w:val="22"/>
            <w:u w:val="single"/>
          </w:rPr>
          <w:t>http://www.coloradodot.info/business/designsupport/construction-specifications/2011-Specs</w:t>
        </w:r>
      </w:hyperlink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Please click on the hyperlink titled “Specification Changes </w:t>
      </w:r>
      <w:proofErr w:type="gramStart"/>
      <w:r>
        <w:rPr>
          <w:sz w:val="22"/>
          <w:szCs w:val="22"/>
        </w:rPr>
        <w:t>Under</w:t>
      </w:r>
      <w:proofErr w:type="gramEnd"/>
      <w:r>
        <w:rPr>
          <w:sz w:val="22"/>
          <w:szCs w:val="22"/>
        </w:rPr>
        <w:t xml:space="preserve"> Consideration” to access this and other special provisions that have been issued as of this date.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100"/>
    <w:multiLevelType w:val="hybridMultilevel"/>
    <w:tmpl w:val="675E1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64FBC"/>
    <w:multiLevelType w:val="hybridMultilevel"/>
    <w:tmpl w:val="4BAEA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A03C3A"/>
    <w:multiLevelType w:val="hybridMultilevel"/>
    <w:tmpl w:val="43C44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F0517"/>
    <w:multiLevelType w:val="hybridMultilevel"/>
    <w:tmpl w:val="CD4C54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D2FC9"/>
    <w:rsid w:val="003E29AE"/>
    <w:rsid w:val="004244E3"/>
    <w:rsid w:val="00767B1E"/>
    <w:rsid w:val="0084172B"/>
    <w:rsid w:val="009A1E09"/>
    <w:rsid w:val="009A627F"/>
    <w:rsid w:val="00A6316A"/>
    <w:rsid w:val="00B66DE6"/>
    <w:rsid w:val="00BA34FD"/>
    <w:rsid w:val="00BB24D8"/>
    <w:rsid w:val="00DC4B47"/>
    <w:rsid w:val="00E0020B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paragraph" w:styleId="BalloonText">
    <w:name w:val="Balloon Text"/>
    <w:basedOn w:val="Normal"/>
    <w:link w:val="BalloonTextChar"/>
    <w:rsid w:val="009A1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1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oradodot.info/business/designsupport/construction-specifications/2011-Spe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1891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2000-05-24T15:27:00Z</cp:lastPrinted>
  <dcterms:created xsi:type="dcterms:W3CDTF">2012-04-24T20:46:00Z</dcterms:created>
  <dcterms:modified xsi:type="dcterms:W3CDTF">2012-04-24T20:46:00Z</dcterms:modified>
</cp:coreProperties>
</file>